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rPr>
        <w:t>年部门整体支出绩效自评报告</w:t>
      </w:r>
    </w:p>
    <w:p>
      <w:pPr>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攸县农业农村局</w:t>
      </w: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一、部位（单位）概况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（一）机构组成及人员概况：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攸县农业农村局内设机构包括：攸县农业农村局是内设8个职能股室，辖设7个事业服务机构，现有在职人员143人、退休人员138人、长休人员1人、临聘人员20人、遗属补助人员27人。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（二）机构职能：</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 xml:space="preserve">）贯彻执行党和国家有关农业、农村工作的法律、法规和方针、政策，组织拟订全县种植业、畜牧业、农业机械化等农业各产业中长期发展规划并组织实施;研究并提出全县农村工作的发展战略、政策意见和有关文件草案意见，监督检查农村政策的贯彻执行情况;负责全县农村工作的组织指导与综合协调;承担农业投资和农业综合开发、示范项目的规划、计划管理和监督实施。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 xml:space="preserve">）统筹推动发展农村社会事业、农村公共服务、农村文化、农村基础设施和乡村治理。牵头组织改善农村人居环境。指导农村精神文明和优秀农耕文化建设。指导农业行业安全生产工作。指导、协调全县农村基层党风廉政建设工作;配合有关部门抓好农村基层党组织建设、基层政权建设和农村稳定工作。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 xml:space="preserve">）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 xml:space="preserve">）指导乡村特色产业、农产品加工业、休闲农业和乡镇企业发展工作。提出促进大宗农产品流通的建议，培育、保护农业品牌。发布农业农村经济信息，监测分析农业农村经济运行。承担农业统计和农业农村信息化有关工作。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 xml:space="preserve">）负责种植业、畜牧业、渔业、农业机械化等农业产业的监督管理。指导粮食等农产品生产。组织构建现代农业产业体系、生产体系、经营体系，指导农业标准化生产。负责渔政监督管理。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 xml:space="preserve">）负责农产品质量安全监督管理。组织开展农产品质量安全监测、追溯、风险评估，发布农产品质量安全有关信息。贯彻执行农产品质量安全国家标准，参与制定农产品质量安全地方标准并会同有关部门组织实施。指导农业检验检测体系建设。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 xml:space="preserve">）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产业发展。牵头管理外来物种。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 xml:space="preserve">）负责有关农业生产资料和农业投入品的监督管理。组织农业生产资料市场体系建设。贯彻执行农业生产资料、兽药质量、兽药残留限量和残留检测方法国家标准，参与制定农业生产资料地方标准并监督实施。组织兽医医政、兽药药政药检工作，负责执业兽医和畜禽屠宰行业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 xml:space="preserve">）负责农业防灾减灾、农作物重大病虫害防治工作。指导动植物防疫检疫体系建设，组织、监督县内动植物防疫检疫工作，发布疫情并组织扑灭。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 xml:space="preserve">）负责农业投资管理。编制农业投资项目建设规划，提出农业投资规模和方向、扶持农业农村发展财政项目的建议，按规定权限审批农业投资项目，负责农业投资项目资金安排和监督管理。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 xml:space="preserve">）推动农业科技体制改革和农业科技创新体系建设。指导农业产业技术体系和农技推广体系建设，组织开展农业领域的高新技术和应用技术科技成果转化和技术推广。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二、部门财政资金收支及使用情况</w:t>
      </w:r>
    </w:p>
    <w:p>
      <w:pPr>
        <w:pStyle w:val="7"/>
        <w:widowControl/>
        <w:shd w:val="clear" w:color="auto" w:fill="FFFFFF"/>
        <w:spacing w:before="450" w:beforeAutospacing="0" w:afterAutospacing="0" w:line="590" w:lineRule="atLeast"/>
        <w:ind w:firstLine="634"/>
        <w:jc w:val="both"/>
        <w:rPr>
          <w:rFonts w:ascii="仿宋" w:hAnsi="仿宋" w:eastAsia="仿宋" w:cs="仿宋"/>
          <w:color w:val="000000"/>
          <w:sz w:val="32"/>
          <w:szCs w:val="32"/>
        </w:rPr>
      </w:pPr>
      <w:r>
        <w:rPr>
          <w:rFonts w:hint="eastAsia" w:ascii="仿宋" w:hAnsi="仿宋" w:eastAsia="仿宋" w:cs="仿宋"/>
          <w:color w:val="000000"/>
          <w:sz w:val="32"/>
          <w:szCs w:val="32"/>
        </w:rPr>
        <w:t>1、收入情况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2021年度收入合计24,546.55万元，其中：财政拨款收入24,546.55万元，占100%</w:t>
      </w:r>
      <w:r>
        <w:rPr>
          <w:rFonts w:hint="eastAsia" w:ascii="仿宋" w:hAnsi="仿宋" w:eastAsia="仿宋" w:cs="仿宋"/>
          <w:color w:val="000000"/>
          <w:sz w:val="32"/>
          <w:szCs w:val="32"/>
          <w:lang w:eastAsia="zh-CN"/>
        </w:rPr>
        <w:t>。</w:t>
      </w:r>
    </w:p>
    <w:p>
      <w:pPr>
        <w:pStyle w:val="7"/>
        <w:widowControl/>
        <w:shd w:val="clear" w:color="auto" w:fill="FFFFFF"/>
        <w:spacing w:before="450" w:beforeAutospacing="0" w:afterAutospacing="0" w:line="590" w:lineRule="atLeast"/>
        <w:ind w:firstLine="634"/>
        <w:jc w:val="both"/>
        <w:rPr>
          <w:rFonts w:hint="eastAsia" w:ascii="仿宋" w:hAnsi="仿宋" w:eastAsia="仿宋" w:cs="仿宋"/>
          <w:color w:val="000000"/>
          <w:sz w:val="32"/>
          <w:szCs w:val="32"/>
        </w:rPr>
      </w:pPr>
      <w:r>
        <w:rPr>
          <w:rFonts w:hint="eastAsia" w:ascii="仿宋" w:hAnsi="仿宋" w:eastAsia="仿宋" w:cs="仿宋"/>
          <w:color w:val="000000"/>
          <w:sz w:val="32"/>
          <w:szCs w:val="32"/>
        </w:rPr>
        <w:t>2、基本支出情况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2021年度支出合计24,546.55万元，其中：基本支出2,522.48万元，占10.28%；项目支出22,024.07万元，占89.72%</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 xml:space="preserve">2021年度财政拨款支出24,546.55万元，主要用于以下方面：科学技术支出336.2万元，占1.37%；社会保障和就业支出240.67万元，占0.98%；节能环保支出930万元，占3.79%；农林水支出23,039.68万元，占93.86%。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2021年度“三公”经费财政拨款支出决算中，公务接待费支出决算25.05万元，占77.29%，因公出国（境）费支出决算0万元，占0%，公务用车购置费及运行维护费支出决算7.36万元，占22.71%。其中：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1、因公出国（境）费支出决算为0万元，全年安排因公出国（境）团组0个，累计0人次，我单位2021年度无因公出国（境）费支出。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2、公务接待费支出决算为25.05万元，全年共接待来访团组186个、来宾2,320人次，主要是全县农村工作会议开支发生的接待支出。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3、公务用车购置费及运行维护费支出决算为7.36万元，其中：公务用车购置费0万元，农业农村局更新公务用车0辆。公务用车运行维护费7.36万元，主要是农业执法车加油费支出，截至2021年12月31日，我单位开支财政拨款的公务用车保有量为2辆。</w:t>
      </w:r>
    </w:p>
    <w:p>
      <w:pPr>
        <w:pStyle w:val="7"/>
        <w:widowControl/>
        <w:shd w:val="clear" w:color="auto" w:fill="FFFFFF"/>
        <w:spacing w:before="450" w:beforeAutospacing="0" w:afterAutospacing="0" w:line="590" w:lineRule="atLeast"/>
        <w:ind w:firstLine="634"/>
        <w:jc w:val="both"/>
        <w:rPr>
          <w:rFonts w:hint="eastAsia" w:ascii="仿宋" w:hAnsi="仿宋" w:eastAsia="仿宋" w:cs="仿宋"/>
          <w:color w:val="000000"/>
          <w:sz w:val="32"/>
          <w:szCs w:val="32"/>
        </w:rPr>
      </w:pPr>
      <w:r>
        <w:rPr>
          <w:rFonts w:hint="eastAsia" w:ascii="仿宋" w:hAnsi="仿宋" w:eastAsia="仿宋" w:cs="仿宋"/>
          <w:color w:val="000000"/>
          <w:sz w:val="32"/>
          <w:szCs w:val="32"/>
        </w:rPr>
        <w:t>3、项目支出情况</w:t>
      </w:r>
    </w:p>
    <w:p>
      <w:pPr>
        <w:pStyle w:val="7"/>
        <w:widowControl/>
        <w:spacing w:before="450" w:beforeAutospacing="0" w:afterAutospacing="0" w:line="590" w:lineRule="atLeast"/>
        <w:ind w:firstLine="640"/>
        <w:jc w:val="both"/>
        <w:rPr>
          <w:rFonts w:ascii="Times New Roman" w:hAnsi="Times New Roman"/>
          <w:sz w:val="32"/>
          <w:szCs w:val="32"/>
        </w:rPr>
      </w:pPr>
      <w:r>
        <w:rPr>
          <w:rFonts w:hint="eastAsia" w:ascii="仿宋" w:hAnsi="仿宋" w:eastAsia="仿宋" w:cs="仿宋"/>
          <w:color w:val="000000"/>
          <w:sz w:val="32"/>
          <w:szCs w:val="32"/>
        </w:rPr>
        <w:t>项目支出22,024.07万元</w:t>
      </w:r>
      <w:r>
        <w:rPr>
          <w:rFonts w:hint="eastAsia" w:ascii="仿宋" w:hAnsi="仿宋" w:eastAsia="仿宋" w:cs="仿宋"/>
          <w:color w:val="000000"/>
          <w:sz w:val="32"/>
          <w:szCs w:val="32"/>
        </w:rPr>
        <w:t>，为财政拨款项目资金。包括镉污染治理、高标准农田、制种大县、病虫害控制、农业技术推广、集中育秧、稻油轮作、产油大县等项目，以上项目资金均拨款到位，使用合规合法，没有挪用，挤占的现象。</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仿宋" w:hAnsi="仿宋" w:eastAsia="仿宋" w:cs="仿宋"/>
          <w:color w:val="000000"/>
          <w:spacing w:val="-2"/>
          <w:sz w:val="32"/>
          <w:szCs w:val="32"/>
          <w:shd w:val="clear" w:color="auto" w:fill="FFFFFF"/>
        </w:rPr>
        <w:t>本单位根据县财政开支标准、规定和县纪委规定及上级单位的各项规定，结合单位的实际工作，将各个环节的工作，进行了梳理规范，形成办事制度，对各项费用开支，按相关单位要求进行了细化、规范化，形成管理制度、流程统一纳入《内部控制手册》，对《内部控制手册》内容进行系统培训，严格执行《内部控制手册》。</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仿宋" w:hAnsi="仿宋" w:eastAsia="仿宋" w:cs="仿宋"/>
          <w:color w:val="000000"/>
          <w:spacing w:val="-2"/>
          <w:sz w:val="32"/>
          <w:szCs w:val="32"/>
          <w:shd w:val="clear" w:color="auto" w:fill="FFFFFF"/>
        </w:rPr>
        <w:t>202</w:t>
      </w:r>
      <w:r>
        <w:rPr>
          <w:rFonts w:hint="eastAsia" w:ascii="仿宋" w:hAnsi="仿宋" w:eastAsia="仿宋" w:cs="仿宋"/>
          <w:color w:val="000000"/>
          <w:spacing w:val="-2"/>
          <w:sz w:val="32"/>
          <w:szCs w:val="32"/>
          <w:shd w:val="clear" w:color="auto" w:fill="FFFFFF"/>
          <w:lang w:val="en-US" w:eastAsia="zh-CN"/>
        </w:rPr>
        <w:t>1</w:t>
      </w:r>
      <w:r>
        <w:rPr>
          <w:rFonts w:hint="eastAsia" w:ascii="仿宋" w:hAnsi="仿宋" w:eastAsia="仿宋" w:cs="仿宋"/>
          <w:color w:val="000000"/>
          <w:spacing w:val="-2"/>
          <w:sz w:val="32"/>
          <w:szCs w:val="32"/>
          <w:shd w:val="clear" w:color="auto" w:fill="FFFFFF"/>
        </w:rPr>
        <w:t>年进行自查自纠，严格开支审批手续，规定费用开支由经办人签字、财务审核、分管领导审核、局长审批，规定审批人审批。成立了审计小组、考核小组，对单位经济活动先进评审、考核，确保了各项开支合理合法，开支与绩效挂钩，提高了资金使用效率。</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黑体" w:hAnsi="宋体" w:eastAsia="黑体" w:cs="黑体"/>
          <w:color w:val="000000"/>
          <w:spacing w:val="-2"/>
          <w:sz w:val="32"/>
          <w:szCs w:val="32"/>
          <w:shd w:val="clear" w:color="auto" w:fill="FFFFFF"/>
        </w:rPr>
        <w:t>三、资产管理情况</w:t>
      </w:r>
    </w:p>
    <w:p>
      <w:pPr>
        <w:pStyle w:val="7"/>
        <w:widowControl/>
        <w:shd w:val="clear" w:color="auto" w:fill="FFFFFF"/>
        <w:spacing w:before="450" w:beforeAutospacing="0" w:afterAutospacing="0" w:line="590" w:lineRule="atLeast"/>
        <w:ind w:firstLine="632"/>
        <w:jc w:val="both"/>
        <w:rPr>
          <w:rFonts w:ascii="仿宋" w:hAnsi="仿宋" w:eastAsia="仿宋" w:cs="仿宋"/>
          <w:color w:val="000000"/>
          <w:spacing w:val="-2"/>
          <w:sz w:val="32"/>
          <w:szCs w:val="32"/>
          <w:shd w:val="clear" w:color="auto" w:fill="FFFFFF"/>
        </w:rPr>
      </w:pPr>
      <w:r>
        <w:rPr>
          <w:rFonts w:hint="eastAsia" w:ascii="仿宋" w:hAnsi="仿宋" w:eastAsia="仿宋" w:cs="仿宋"/>
          <w:color w:val="000000"/>
          <w:spacing w:val="-2"/>
          <w:sz w:val="32"/>
          <w:szCs w:val="32"/>
          <w:shd w:val="clear" w:color="auto" w:fill="FFFFFF"/>
        </w:rPr>
        <w:t>本单位制定了《资产管理制度》、《政府采购制度》、《合同管理制度》，对单位职工基本上每人配置一台电脑、一张办公桌，打印机、文件柜共用，按照内控手册制度和流程执行采购、验收、管理、处理。对购入资产进行登记管理，指定使用人、管理人，存放地点，统一录入资产管理动态系统，对超过一次购入超20万元（含）到财政局办理政府采购审批手续，超过5万元的小于20万元，由单位按询价的方式进行供应商评审后采购。对需处置的资产，找出原始发票凭证，填写处置表，手续齐全，交分管副局长审核，局长审批，交资产股审批，会计上作帐务处理、系统下帐处理。</w:t>
      </w:r>
    </w:p>
    <w:p>
      <w:pPr>
        <w:pStyle w:val="7"/>
        <w:widowControl/>
        <w:shd w:val="clear" w:color="auto" w:fill="FFFFFF"/>
        <w:spacing w:before="450" w:beforeAutospacing="0" w:afterAutospacing="0" w:line="590" w:lineRule="atLeast"/>
        <w:ind w:firstLine="632"/>
        <w:jc w:val="both"/>
        <w:rPr>
          <w:rFonts w:hAnsi="宋体" w:cs="宋体"/>
          <w:sz w:val="30"/>
          <w:szCs w:val="30"/>
        </w:rPr>
      </w:pPr>
      <w:r>
        <w:rPr>
          <w:rFonts w:hint="eastAsia" w:ascii="黑体" w:hAnsi="宋体" w:eastAsia="黑体" w:cs="黑体"/>
          <w:color w:val="000000"/>
          <w:spacing w:val="-2"/>
          <w:sz w:val="32"/>
          <w:szCs w:val="32"/>
          <w:shd w:val="clear" w:color="auto" w:fill="FFFFFF"/>
        </w:rPr>
        <w:t>四、综合管理情况及整体绩效</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（一）综合管理情况</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攸县农业农村局严格按照工作职责，对收支进行严格管理；依法依规收费，严控不合理支出。按照政府采购政策，认真做好采购实施计划，对国有资产和内控制度进行认真管理，及时进行信息公开，认真做好绩效评价，依法接受上级及财政等部门监督。</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（二）整体绩效</w:t>
      </w:r>
    </w:p>
    <w:p>
      <w:pPr>
        <w:pStyle w:val="2"/>
        <w:keepNext w:val="0"/>
        <w:keepLines w:val="0"/>
        <w:pageBreakBefore w:val="0"/>
        <w:kinsoku/>
        <w:overflowPunct/>
        <w:topLinePunct w:val="0"/>
        <w:autoSpaceDE/>
        <w:autoSpaceDN/>
        <w:bidi w:val="0"/>
        <w:spacing w:line="580" w:lineRule="exact"/>
        <w:textAlignment w:val="auto"/>
        <w:rPr>
          <w:rFonts w:hint="default" w:ascii="Times New Roman" w:hAnsi="Times New Roman" w:eastAsia="仿宋_GB2312" w:cs="Times New Roman"/>
          <w:b w:val="0"/>
          <w:bCs/>
          <w:color w:val="auto"/>
          <w:sz w:val="32"/>
          <w:szCs w:val="32"/>
          <w:lang w:val="en-US" w:eastAsia="zh-CN"/>
        </w:rPr>
      </w:pPr>
      <w:r>
        <w:rPr>
          <w:rFonts w:hint="eastAsia" w:ascii="仿宋" w:hAnsi="仿宋" w:eastAsia="仿宋" w:cs="仿宋"/>
          <w:color w:val="000000"/>
          <w:spacing w:val="-2"/>
          <w:kern w:val="0"/>
          <w:sz w:val="32"/>
          <w:szCs w:val="32"/>
          <w:shd w:val="clear" w:color="auto" w:fill="FFFFFF"/>
        </w:rPr>
        <w:t>攸县农业农村局认真按照工作职责，部门工作人员认真履行职责，对各项工作认真负责，</w:t>
      </w:r>
      <w:r>
        <w:rPr>
          <w:rFonts w:hint="default" w:ascii="Times New Roman" w:hAnsi="Times New Roman" w:eastAsia="仿宋_GB2312" w:cs="Times New Roman"/>
          <w:b w:val="0"/>
          <w:bCs/>
          <w:i w:val="0"/>
          <w:iCs w:val="0"/>
          <w:color w:val="000000"/>
          <w:sz w:val="32"/>
          <w:szCs w:val="32"/>
          <w:lang w:val="en-US" w:eastAsia="zh-CN"/>
        </w:rPr>
        <w:t>全年粮食播种面积91.</w:t>
      </w:r>
      <w:r>
        <w:rPr>
          <w:rFonts w:hint="eastAsia" w:ascii="Times New Roman" w:hAnsi="Times New Roman" w:eastAsia="仿宋_GB2312" w:cs="Times New Roman"/>
          <w:b w:val="0"/>
          <w:bCs/>
          <w:i w:val="0"/>
          <w:iCs w:val="0"/>
          <w:color w:val="000000"/>
          <w:sz w:val="32"/>
          <w:szCs w:val="32"/>
          <w:lang w:val="en-US" w:eastAsia="zh-CN"/>
        </w:rPr>
        <w:t>7</w:t>
      </w:r>
      <w:r>
        <w:rPr>
          <w:rFonts w:hint="default" w:ascii="Times New Roman" w:hAnsi="Times New Roman" w:eastAsia="仿宋_GB2312" w:cs="Times New Roman"/>
          <w:b w:val="0"/>
          <w:bCs/>
          <w:i w:val="0"/>
          <w:iCs w:val="0"/>
          <w:color w:val="000000"/>
          <w:sz w:val="32"/>
          <w:szCs w:val="32"/>
          <w:lang w:val="en-US" w:eastAsia="zh-CN"/>
        </w:rPr>
        <w:t>万亩，</w:t>
      </w:r>
      <w:r>
        <w:rPr>
          <w:rFonts w:hint="eastAsia" w:ascii="Times New Roman" w:hAnsi="Times New Roman" w:eastAsia="仿宋_GB2312" w:cs="Times New Roman"/>
          <w:b w:val="0"/>
          <w:bCs/>
          <w:i w:val="0"/>
          <w:iCs w:val="0"/>
          <w:color w:val="000000"/>
          <w:sz w:val="32"/>
          <w:szCs w:val="32"/>
          <w:lang w:val="en-US" w:eastAsia="zh-CN"/>
        </w:rPr>
        <w:t>同比增加1.62万亩，增长8.1%，其中稻谷作物增长1.48%，含量作物增长9.83%；粮食</w:t>
      </w:r>
      <w:r>
        <w:rPr>
          <w:rFonts w:hint="default" w:ascii="Times New Roman" w:hAnsi="Times New Roman" w:eastAsia="仿宋_GB2312" w:cs="Times New Roman"/>
          <w:b w:val="0"/>
          <w:bCs/>
          <w:i w:val="0"/>
          <w:iCs w:val="0"/>
          <w:color w:val="000000"/>
          <w:sz w:val="32"/>
          <w:szCs w:val="32"/>
          <w:lang w:val="en-US" w:eastAsia="zh-CN"/>
        </w:rPr>
        <w:t>总产</w:t>
      </w:r>
      <w:r>
        <w:rPr>
          <w:rFonts w:hint="eastAsia" w:ascii="Times New Roman" w:hAnsi="Times New Roman" w:eastAsia="仿宋_GB2312" w:cs="Times New Roman"/>
          <w:b w:val="0"/>
          <w:bCs/>
          <w:i w:val="0"/>
          <w:iCs w:val="0"/>
          <w:color w:val="000000"/>
          <w:sz w:val="32"/>
          <w:szCs w:val="32"/>
          <w:lang w:val="en-US" w:eastAsia="zh-CN"/>
        </w:rPr>
        <w:t>预计</w:t>
      </w:r>
      <w:r>
        <w:rPr>
          <w:rFonts w:hint="default" w:ascii="Times New Roman" w:hAnsi="Times New Roman" w:eastAsia="仿宋_GB2312" w:cs="Times New Roman"/>
          <w:b w:val="0"/>
          <w:bCs/>
          <w:i w:val="0"/>
          <w:iCs w:val="0"/>
          <w:color w:val="000000"/>
          <w:sz w:val="32"/>
          <w:szCs w:val="32"/>
          <w:lang w:val="en-US" w:eastAsia="zh-CN"/>
        </w:rPr>
        <w:t>43.</w:t>
      </w:r>
      <w:r>
        <w:rPr>
          <w:rFonts w:hint="eastAsia" w:ascii="Times New Roman" w:hAnsi="Times New Roman" w:eastAsia="仿宋_GB2312" w:cs="Times New Roman"/>
          <w:b w:val="0"/>
          <w:bCs/>
          <w:i w:val="0"/>
          <w:iCs w:val="0"/>
          <w:color w:val="000000"/>
          <w:sz w:val="32"/>
          <w:szCs w:val="32"/>
          <w:lang w:val="en-US" w:eastAsia="zh-CN"/>
        </w:rPr>
        <w:t>81</w:t>
      </w:r>
      <w:r>
        <w:rPr>
          <w:rFonts w:hint="default" w:ascii="Times New Roman" w:hAnsi="Times New Roman" w:eastAsia="仿宋_GB2312" w:cs="Times New Roman"/>
          <w:b w:val="0"/>
          <w:bCs/>
          <w:i w:val="0"/>
          <w:iCs w:val="0"/>
          <w:color w:val="000000"/>
          <w:sz w:val="32"/>
          <w:szCs w:val="32"/>
          <w:lang w:val="en-US" w:eastAsia="zh-CN"/>
        </w:rPr>
        <w:t>万吨，</w:t>
      </w:r>
      <w:r>
        <w:rPr>
          <w:rFonts w:hint="eastAsia" w:ascii="Times New Roman" w:hAnsi="Times New Roman" w:eastAsia="仿宋_GB2312" w:cs="Times New Roman"/>
          <w:b w:val="0"/>
          <w:bCs/>
          <w:i w:val="0"/>
          <w:iCs w:val="0"/>
          <w:color w:val="000000"/>
          <w:sz w:val="32"/>
          <w:szCs w:val="32"/>
          <w:lang w:val="en-US" w:eastAsia="zh-CN"/>
        </w:rPr>
        <w:t>同比增加1.48万吨，</w:t>
      </w:r>
      <w:r>
        <w:rPr>
          <w:rFonts w:hint="default" w:ascii="Times New Roman" w:hAnsi="Times New Roman" w:eastAsia="仿宋_GB2312" w:cs="Times New Roman"/>
          <w:b w:val="0"/>
          <w:bCs/>
          <w:i w:val="0"/>
          <w:iCs w:val="0"/>
          <w:color w:val="000000"/>
          <w:sz w:val="32"/>
          <w:szCs w:val="32"/>
          <w:lang w:val="en-US" w:eastAsia="zh-CN"/>
        </w:rPr>
        <w:t>超额完成粮食稳产稳面目标任务，</w:t>
      </w:r>
      <w:r>
        <w:rPr>
          <w:rFonts w:hint="default" w:ascii="Times New Roman" w:hAnsi="Times New Roman" w:eastAsia="仿宋_GB2312" w:cs="Times New Roman"/>
          <w:sz w:val="32"/>
          <w:szCs w:val="32"/>
          <w:lang w:val="en-US" w:eastAsia="zh-CN"/>
        </w:rPr>
        <w:t>抓粮食生产工作经验在《湖南农业农村专刊》推广。种植结构进一步优化，高档优质稻面积发展到35.91万亩，杂交水稻制种基地稳定在3.5万亩</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b w:val="0"/>
          <w:bCs/>
          <w:i w:val="0"/>
          <w:iCs w:val="0"/>
          <w:color w:val="000000"/>
          <w:sz w:val="32"/>
          <w:szCs w:val="32"/>
          <w:lang w:val="en-US" w:eastAsia="zh-CN"/>
        </w:rPr>
        <w:t>稳步推进稻油轮作和菜籽油大县项目实施，</w:t>
      </w:r>
      <w:r>
        <w:rPr>
          <w:rFonts w:hint="default" w:ascii="Times New Roman" w:hAnsi="Times New Roman" w:eastAsia="仿宋_GB2312" w:cs="Times New Roman"/>
          <w:sz w:val="32"/>
          <w:szCs w:val="32"/>
          <w:lang w:val="en-US" w:eastAsia="zh-CN"/>
        </w:rPr>
        <w:t>油菜播种面积达25.6万亩。2021年度6.16万亩高标准农田建设项目已全面开工，</w:t>
      </w:r>
      <w:r>
        <w:rPr>
          <w:rFonts w:hint="default" w:ascii="Times New Roman" w:hAnsi="Times New Roman" w:eastAsia="仿宋_GB2312" w:cs="Times New Roman"/>
          <w:b w:val="0"/>
          <w:bCs/>
          <w:color w:val="auto"/>
          <w:sz w:val="32"/>
          <w:szCs w:val="32"/>
          <w:highlight w:val="none"/>
          <w:shd w:val="clear" w:color="auto" w:fill="auto"/>
          <w:lang w:val="en-US" w:eastAsia="zh-CN"/>
        </w:rPr>
        <w:t>打造了两个湘赣边乡村振兴示范区</w:t>
      </w:r>
      <w:r>
        <w:rPr>
          <w:rFonts w:hint="default" w:ascii="Times New Roman" w:hAnsi="Times New Roman" w:eastAsia="仿宋_GB2312" w:cs="Times New Roman"/>
          <w:b w:val="0"/>
          <w:bCs/>
          <w:color w:val="auto"/>
          <w:sz w:val="32"/>
          <w:szCs w:val="32"/>
          <w:highlight w:val="none"/>
          <w:shd w:val="clear" w:color="auto" w:fill="auto"/>
          <w:lang w:eastAsia="zh-CN"/>
        </w:rPr>
        <w:t>，</w:t>
      </w:r>
      <w:r>
        <w:rPr>
          <w:rFonts w:hint="default" w:ascii="Times New Roman" w:hAnsi="Times New Roman" w:eastAsia="仿宋_GB2312" w:cs="Times New Roman"/>
          <w:sz w:val="32"/>
          <w:szCs w:val="32"/>
          <w:lang w:val="en-US" w:eastAsia="zh-CN"/>
        </w:rPr>
        <w:t>工程进度居全省前列</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统筹整合稻谷补贴资金1900多万元完善水稻种植区小型基础设施建设项目179个。全县农机具累计10.58万台，全年完成机耕作业面积84.02万亩，机插机抛作业面积46.38万亩，机收作业面积84.1万亩，水稻生产综合机械化水平达86.5%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b w:val="0"/>
          <w:bCs/>
          <w:color w:val="auto"/>
          <w:sz w:val="32"/>
          <w:szCs w:val="32"/>
          <w:lang w:val="en-US" w:eastAsia="zh-CN"/>
        </w:rPr>
        <w:t>农业品牌影响力进一步提升，</w:t>
      </w:r>
      <w:r>
        <w:rPr>
          <w:rFonts w:hint="default" w:ascii="Times New Roman" w:hAnsi="Times New Roman" w:eastAsia="仿宋_GB2312" w:cs="Times New Roman"/>
          <w:b w:val="0"/>
          <w:bCs/>
          <w:color w:val="auto"/>
          <w:sz w:val="32"/>
          <w:szCs w:val="32"/>
          <w:lang w:eastAsia="zh-CN"/>
        </w:rPr>
        <w:t>新增“湘赣红”</w:t>
      </w:r>
      <w:r>
        <w:rPr>
          <w:rFonts w:hint="eastAsia" w:ascii="Times New Roman" w:hAnsi="Times New Roman" w:eastAsia="仿宋_GB2312" w:cs="Times New Roman"/>
          <w:b w:val="0"/>
          <w:bCs/>
          <w:color w:val="auto"/>
          <w:sz w:val="32"/>
          <w:szCs w:val="32"/>
          <w:lang w:val="en-US" w:eastAsia="zh-CN"/>
        </w:rPr>
        <w:t>区域公用</w:t>
      </w:r>
      <w:r>
        <w:rPr>
          <w:rFonts w:hint="default" w:ascii="Times New Roman" w:hAnsi="Times New Roman" w:eastAsia="仿宋_GB2312" w:cs="Times New Roman"/>
          <w:b w:val="0"/>
          <w:bCs/>
          <w:color w:val="auto"/>
          <w:sz w:val="32"/>
          <w:szCs w:val="32"/>
          <w:lang w:eastAsia="zh-CN"/>
        </w:rPr>
        <w:t>授权企业2个、</w:t>
      </w:r>
      <w:r>
        <w:rPr>
          <w:rFonts w:hint="eastAsia" w:ascii="Times New Roman" w:hAnsi="Times New Roman" w:eastAsia="仿宋_GB2312" w:cs="Times New Roman"/>
          <w:b w:val="0"/>
          <w:bCs/>
          <w:color w:val="auto"/>
          <w:sz w:val="32"/>
          <w:szCs w:val="32"/>
          <w:lang w:val="en-US" w:eastAsia="zh-CN"/>
        </w:rPr>
        <w:t>农</w:t>
      </w:r>
      <w:r>
        <w:rPr>
          <w:rFonts w:hint="default" w:ascii="Times New Roman" w:hAnsi="Times New Roman" w:eastAsia="仿宋_GB2312" w:cs="Times New Roman"/>
          <w:b w:val="0"/>
          <w:bCs/>
          <w:color w:val="auto"/>
          <w:sz w:val="32"/>
          <w:szCs w:val="32"/>
          <w:lang w:eastAsia="zh-CN"/>
        </w:rPr>
        <w:t>产品3个，</w:t>
      </w:r>
      <w:r>
        <w:rPr>
          <w:rFonts w:hint="eastAsia" w:ascii="Times New Roman" w:hAnsi="Times New Roman" w:eastAsia="仿宋_GB2312" w:cs="Times New Roman"/>
          <w:b w:val="0"/>
          <w:bCs/>
          <w:color w:val="auto"/>
          <w:sz w:val="32"/>
          <w:szCs w:val="32"/>
          <w:lang w:eastAsia="zh-CN"/>
        </w:rPr>
        <w:t>新增</w:t>
      </w:r>
      <w:r>
        <w:rPr>
          <w:rFonts w:hint="default" w:ascii="Times New Roman" w:hAnsi="Times New Roman" w:eastAsia="仿宋_GB2312" w:cs="Times New Roman"/>
          <w:b w:val="0"/>
          <w:bCs/>
          <w:color w:val="auto"/>
          <w:sz w:val="32"/>
          <w:szCs w:val="32"/>
          <w:lang w:eastAsia="zh-CN"/>
        </w:rPr>
        <w:t>“两品一标”认证农产品</w:t>
      </w:r>
      <w:r>
        <w:rPr>
          <w:rFonts w:hint="default" w:ascii="Times New Roman" w:hAnsi="Times New Roman" w:eastAsia="仿宋_GB2312" w:cs="Times New Roman"/>
          <w:b w:val="0"/>
          <w:bCs/>
          <w:color w:val="auto"/>
          <w:sz w:val="32"/>
          <w:szCs w:val="32"/>
          <w:lang w:val="en-US" w:eastAsia="zh-CN"/>
        </w:rPr>
        <w:t>14个</w:t>
      </w:r>
      <w:r>
        <w:rPr>
          <w:rFonts w:hint="eastAsia"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b w:val="0"/>
          <w:bCs/>
          <w:color w:val="auto"/>
          <w:sz w:val="32"/>
          <w:szCs w:val="32"/>
          <w:lang w:val="en-US" w:eastAsia="zh-CN"/>
        </w:rPr>
        <w:t>特色产业进一步发展，出台了促进</w:t>
      </w:r>
      <w:r>
        <w:rPr>
          <w:rFonts w:hint="default" w:ascii="Times New Roman" w:hAnsi="Times New Roman" w:eastAsia="仿宋_GB2312" w:cs="Times New Roman"/>
          <w:b w:val="0"/>
          <w:bCs/>
          <w:color w:val="auto"/>
          <w:sz w:val="32"/>
          <w:szCs w:val="32"/>
          <w:lang w:eastAsia="zh-CN"/>
        </w:rPr>
        <w:t>攸县豆腐、茶油区域公用品牌建设方案及扶持政策，举办了“攸县首届特色农业产业工匠豆腐（香干）传统制作技能大赛”、“</w:t>
      </w:r>
      <w:r>
        <w:rPr>
          <w:rFonts w:hint="default" w:ascii="Times New Roman" w:hAnsi="Times New Roman" w:eastAsia="仿宋_GB2312" w:cs="Times New Roman"/>
          <w:b w:val="0"/>
          <w:bCs/>
          <w:color w:val="auto"/>
          <w:sz w:val="32"/>
          <w:szCs w:val="32"/>
          <w:lang w:val="en-US" w:eastAsia="zh-CN"/>
        </w:rPr>
        <w:t>攸县首届特色产业工匠（植保飞防）操作竞赛</w:t>
      </w:r>
      <w:r>
        <w:rPr>
          <w:rFonts w:hint="default" w:ascii="Times New Roman" w:hAnsi="Times New Roman" w:eastAsia="仿宋_GB2312" w:cs="Times New Roman"/>
          <w:b w:val="0"/>
          <w:bCs/>
          <w:color w:val="auto"/>
          <w:sz w:val="32"/>
          <w:szCs w:val="32"/>
          <w:lang w:eastAsia="zh-CN"/>
        </w:rPr>
        <w:t>”，</w:t>
      </w:r>
      <w:r>
        <w:rPr>
          <w:rFonts w:hint="eastAsia" w:ascii="仿宋_GB2312" w:hAnsi="仿宋_GB2312" w:eastAsia="仿宋_GB2312" w:cs="仿宋_GB2312"/>
          <w:sz w:val="32"/>
          <w:szCs w:val="32"/>
          <w:lang w:val="en-US" w:eastAsia="zh-CN"/>
        </w:rPr>
        <w:t>新增县级现代农业产业园10家、</w:t>
      </w:r>
      <w:r>
        <w:rPr>
          <w:rFonts w:hint="default" w:ascii="Times New Roman" w:hAnsi="Times New Roman" w:eastAsia="仿宋_GB2312" w:cs="Times New Roman"/>
          <w:b w:val="0"/>
          <w:bCs/>
          <w:color w:val="auto"/>
          <w:sz w:val="32"/>
          <w:szCs w:val="32"/>
          <w:lang w:val="en-US" w:eastAsia="zh-CN"/>
        </w:rPr>
        <w:t>省级农业特色产业园</w:t>
      </w:r>
      <w:r>
        <w:rPr>
          <w:rFonts w:hint="eastAsia" w:ascii="Times New Roman" w:hAnsi="Times New Roman" w:eastAsia="仿宋_GB2312" w:cs="Times New Roman"/>
          <w:b w:val="0"/>
          <w:bCs/>
          <w:color w:val="auto"/>
          <w:sz w:val="32"/>
          <w:szCs w:val="32"/>
          <w:lang w:val="en-US" w:eastAsia="zh-CN"/>
        </w:rPr>
        <w:t>1家，</w:t>
      </w:r>
      <w:r>
        <w:rPr>
          <w:rFonts w:hint="eastAsia" w:ascii="仿宋_GB2312" w:hAnsi="仿宋_GB2312" w:eastAsia="仿宋_GB2312" w:cs="仿宋_GB2312"/>
          <w:sz w:val="32"/>
          <w:szCs w:val="32"/>
          <w:lang w:val="en-US" w:eastAsia="zh-CN"/>
        </w:rPr>
        <w:t>组织2家申报</w:t>
      </w:r>
      <w:r>
        <w:rPr>
          <w:rFonts w:hint="eastAsia" w:ascii="仿宋_GB2312" w:hAnsi="仿宋_GB2312" w:eastAsia="仿宋_GB2312" w:cs="仿宋_GB2312"/>
          <w:sz w:val="32"/>
          <w:szCs w:val="32"/>
          <w:lang w:eastAsia="zh-CN"/>
        </w:rPr>
        <w:t>市级现代农业产业园</w:t>
      </w:r>
      <w:r>
        <w:rPr>
          <w:rFonts w:hint="default" w:ascii="Times New Roman" w:hAnsi="Times New Roman" w:eastAsia="仿宋_GB2312" w:cs="Times New Roman"/>
          <w:b w:val="0"/>
          <w:bCs/>
          <w:color w:val="auto"/>
          <w:sz w:val="32"/>
          <w:szCs w:val="32"/>
          <w:lang w:val="en-US" w:eastAsia="zh-CN"/>
        </w:rPr>
        <w:t>。三产融合进一步深化</w:t>
      </w:r>
      <w:r>
        <w:rPr>
          <w:rFonts w:hint="eastAsia" w:ascii="Times New Roman" w:hAnsi="Times New Roman" w:eastAsia="仿宋_GB2312" w:cs="Times New Roman"/>
          <w:b w:val="0"/>
          <w:bCs/>
          <w:color w:val="auto"/>
          <w:sz w:val="32"/>
          <w:szCs w:val="32"/>
          <w:lang w:val="en-US" w:eastAsia="zh-CN"/>
        </w:rPr>
        <w:t>。今年，新增规模以上农产品加工企业2家，</w:t>
      </w:r>
      <w:r>
        <w:rPr>
          <w:rFonts w:hint="default" w:ascii="Times New Roman" w:hAnsi="Times New Roman" w:eastAsia="仿宋_GB2312" w:cs="Times New Roman"/>
          <w:b w:val="0"/>
          <w:bCs/>
          <w:color w:val="auto"/>
          <w:sz w:val="32"/>
          <w:szCs w:val="32"/>
        </w:rPr>
        <w:t>组织</w:t>
      </w:r>
      <w:r>
        <w:rPr>
          <w:rFonts w:hint="eastAsia" w:ascii="Times New Roman" w:hAnsi="Times New Roman" w:eastAsia="仿宋_GB2312" w:cs="Times New Roman"/>
          <w:b w:val="0"/>
          <w:bCs/>
          <w:color w:val="auto"/>
          <w:sz w:val="32"/>
          <w:szCs w:val="32"/>
          <w:highlight w:val="none"/>
          <w:shd w:val="clear" w:color="auto" w:fill="auto"/>
          <w:lang w:val="en-US" w:eastAsia="zh-CN"/>
        </w:rPr>
        <w:t>5</w:t>
      </w:r>
      <w:r>
        <w:rPr>
          <w:rFonts w:hint="default" w:ascii="Times New Roman" w:hAnsi="Times New Roman" w:eastAsia="仿宋_GB2312" w:cs="Times New Roman"/>
          <w:b w:val="0"/>
          <w:bCs/>
          <w:color w:val="auto"/>
          <w:sz w:val="32"/>
          <w:szCs w:val="32"/>
          <w:highlight w:val="none"/>
        </w:rPr>
        <w:t>家农业企业申报市级龙头企业，</w:t>
      </w:r>
      <w:r>
        <w:rPr>
          <w:rFonts w:hint="eastAsia" w:ascii="Times New Roman" w:hAnsi="Times New Roman" w:eastAsia="仿宋_GB2312" w:cs="Times New Roman"/>
          <w:b w:val="0"/>
          <w:bCs/>
          <w:color w:val="auto"/>
          <w:sz w:val="32"/>
          <w:szCs w:val="32"/>
          <w:highlight w:val="none"/>
          <w:lang w:eastAsia="zh-CN"/>
        </w:rPr>
        <w:t>成功申报省级农业产业化联合体</w:t>
      </w:r>
      <w:r>
        <w:rPr>
          <w:rFonts w:hint="eastAsia" w:ascii="Times New Roman" w:hAnsi="Times New Roman" w:eastAsia="仿宋_GB2312" w:cs="Times New Roman"/>
          <w:b w:val="0"/>
          <w:bCs/>
          <w:color w:val="auto"/>
          <w:sz w:val="32"/>
          <w:szCs w:val="32"/>
          <w:highlight w:val="none"/>
          <w:lang w:val="en-US" w:eastAsia="zh-CN"/>
        </w:rPr>
        <w:t>2家，省级农业产业化示范联合体3家，</w:t>
      </w:r>
      <w:r>
        <w:rPr>
          <w:rFonts w:hint="default" w:ascii="Times New Roman" w:hAnsi="Times New Roman" w:eastAsia="仿宋_GB2312" w:cs="Times New Roman"/>
          <w:b w:val="0"/>
          <w:bCs/>
          <w:color w:val="auto"/>
          <w:sz w:val="32"/>
          <w:szCs w:val="32"/>
          <w:lang w:eastAsia="zh-CN"/>
        </w:rPr>
        <w:t>全年农产品加工总产值预计</w:t>
      </w:r>
      <w:r>
        <w:rPr>
          <w:rFonts w:hint="eastAsia" w:ascii="Times New Roman" w:hAnsi="Times New Roman" w:eastAsia="仿宋_GB2312" w:cs="Times New Roman"/>
          <w:b w:val="0"/>
          <w:bCs/>
          <w:color w:val="auto"/>
          <w:sz w:val="32"/>
          <w:szCs w:val="32"/>
          <w:lang w:val="en-US" w:eastAsia="zh-CN"/>
        </w:rPr>
        <w:t>260</w:t>
      </w:r>
      <w:r>
        <w:rPr>
          <w:rFonts w:hint="default" w:ascii="Times New Roman" w:hAnsi="Times New Roman" w:eastAsia="仿宋_GB2312" w:cs="Times New Roman"/>
          <w:b w:val="0"/>
          <w:bCs/>
          <w:color w:val="auto"/>
          <w:sz w:val="32"/>
          <w:szCs w:val="32"/>
          <w:lang w:eastAsia="zh-CN"/>
        </w:rPr>
        <w:t>亿元。</w:t>
      </w:r>
      <w:r>
        <w:rPr>
          <w:rFonts w:hint="default" w:ascii="Times New Roman" w:hAnsi="Times New Roman" w:eastAsia="仿宋_GB2312" w:cs="Times New Roman"/>
          <w:b w:val="0"/>
          <w:bCs/>
          <w:color w:val="auto"/>
          <w:sz w:val="32"/>
          <w:szCs w:val="32"/>
          <w:highlight w:val="none"/>
        </w:rPr>
        <w:t>新增</w:t>
      </w:r>
      <w:r>
        <w:rPr>
          <w:rFonts w:hint="default" w:ascii="Times New Roman" w:hAnsi="Times New Roman" w:eastAsia="仿宋_GB2312" w:cs="Times New Roman"/>
          <w:b w:val="0"/>
          <w:bCs/>
          <w:color w:val="auto"/>
          <w:sz w:val="32"/>
          <w:szCs w:val="32"/>
          <w:lang w:val="en-US" w:eastAsia="zh-CN"/>
        </w:rPr>
        <w:t>省级</w:t>
      </w:r>
      <w:r>
        <w:rPr>
          <w:rFonts w:hint="default" w:ascii="Times New Roman" w:hAnsi="Times New Roman" w:eastAsia="仿宋_GB2312" w:cs="Times New Roman"/>
          <w:b w:val="0"/>
          <w:bCs/>
          <w:color w:val="auto"/>
          <w:sz w:val="32"/>
          <w:szCs w:val="32"/>
        </w:rPr>
        <w:t>休闲农庄</w:t>
      </w:r>
      <w:r>
        <w:rPr>
          <w:rFonts w:hint="default" w:ascii="Times New Roman" w:hAnsi="Times New Roman" w:eastAsia="仿宋_GB2312" w:cs="Times New Roman"/>
          <w:b w:val="0"/>
          <w:bCs/>
          <w:color w:val="auto"/>
          <w:sz w:val="32"/>
          <w:szCs w:val="32"/>
          <w:lang w:val="en-US" w:eastAsia="zh-CN"/>
        </w:rPr>
        <w:t>2家</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highlight w:val="none"/>
        </w:rPr>
        <w:t>农民专业合作社</w:t>
      </w:r>
      <w:r>
        <w:rPr>
          <w:rFonts w:hint="default" w:ascii="Times New Roman" w:hAnsi="Times New Roman" w:eastAsia="仿宋_GB2312" w:cs="Times New Roman"/>
          <w:b w:val="0"/>
          <w:bCs/>
          <w:color w:val="auto"/>
          <w:sz w:val="32"/>
          <w:szCs w:val="32"/>
          <w:highlight w:val="none"/>
          <w:shd w:val="clear" w:color="auto" w:fill="auto"/>
          <w:lang w:val="en-US" w:eastAsia="zh-CN"/>
        </w:rPr>
        <w:t>83</w:t>
      </w:r>
      <w:r>
        <w:rPr>
          <w:rFonts w:hint="default" w:ascii="Times New Roman" w:hAnsi="Times New Roman" w:eastAsia="仿宋_GB2312" w:cs="Times New Roman"/>
          <w:b w:val="0"/>
          <w:bCs/>
          <w:color w:val="auto"/>
          <w:sz w:val="32"/>
          <w:szCs w:val="32"/>
          <w:highlight w:val="none"/>
          <w:shd w:val="clear" w:color="auto" w:fill="auto"/>
        </w:rPr>
        <w:t>家</w:t>
      </w:r>
      <w:r>
        <w:rPr>
          <w:rFonts w:hint="default" w:ascii="Times New Roman" w:hAnsi="Times New Roman" w:eastAsia="仿宋_GB2312" w:cs="Times New Roman"/>
          <w:b w:val="0"/>
          <w:bCs/>
          <w:color w:val="auto"/>
          <w:sz w:val="32"/>
          <w:szCs w:val="32"/>
          <w:highlight w:val="none"/>
          <w:shd w:val="clear" w:color="auto" w:fill="auto"/>
          <w:lang w:eastAsia="zh-CN"/>
        </w:rPr>
        <w:t>，</w:t>
      </w:r>
      <w:r>
        <w:rPr>
          <w:rFonts w:hint="default" w:ascii="Times New Roman" w:hAnsi="Times New Roman" w:eastAsia="仿宋_GB2312" w:cs="Times New Roman"/>
          <w:b w:val="0"/>
          <w:bCs/>
          <w:color w:val="auto"/>
          <w:sz w:val="32"/>
          <w:szCs w:val="32"/>
          <w:lang w:val="en-US" w:eastAsia="zh-CN"/>
        </w:rPr>
        <w:t>家庭农场43家</w:t>
      </w:r>
      <w:r>
        <w:rPr>
          <w:rFonts w:hint="eastAsia" w:ascii="Times New Roman" w:hAnsi="Times New Roman" w:eastAsia="仿宋_GB2312"/>
          <w:color w:val="auto"/>
          <w:sz w:val="32"/>
          <w:szCs w:val="32"/>
          <w:lang w:val="en-US" w:eastAsia="zh-CN"/>
        </w:rPr>
        <w:t>，</w:t>
      </w:r>
      <w:r>
        <w:rPr>
          <w:rFonts w:hint="eastAsia" w:eastAsia="仿宋_GB2312"/>
          <w:color w:val="auto"/>
          <w:sz w:val="32"/>
          <w:szCs w:val="32"/>
          <w:shd w:val="clear" w:color="auto" w:fill="auto"/>
          <w:lang w:val="en-US" w:eastAsia="zh-CN"/>
        </w:rPr>
        <w:t>成功</w:t>
      </w:r>
      <w:r>
        <w:rPr>
          <w:rFonts w:hint="eastAsia" w:ascii="Times New Roman" w:hAnsi="Times New Roman" w:eastAsia="仿宋_GB2312"/>
          <w:color w:val="auto"/>
          <w:sz w:val="32"/>
          <w:szCs w:val="32"/>
          <w:shd w:val="clear" w:color="auto" w:fill="auto"/>
          <w:lang w:val="en-US" w:eastAsia="zh-CN"/>
        </w:rPr>
        <w:t>创建</w:t>
      </w:r>
      <w:r>
        <w:rPr>
          <w:rFonts w:hint="default" w:ascii="Times New Roman" w:hAnsi="Times New Roman" w:eastAsia="仿宋_GB2312" w:cs="Times New Roman"/>
          <w:color w:val="auto"/>
          <w:sz w:val="32"/>
          <w:szCs w:val="32"/>
          <w:shd w:val="clear" w:color="auto" w:fill="auto"/>
          <w:lang w:val="en-US" w:eastAsia="zh-CN"/>
        </w:rPr>
        <w:t>了5家省级示范合作社，7家省级示范家庭农场，</w:t>
      </w:r>
      <w:r>
        <w:rPr>
          <w:rFonts w:hint="default" w:ascii="Times New Roman" w:hAnsi="Times New Roman" w:eastAsia="仿宋_GB2312" w:cs="Times New Roman"/>
          <w:color w:val="000000"/>
          <w:spacing w:val="-2"/>
          <w:sz w:val="32"/>
          <w:szCs w:val="32"/>
          <w:lang w:val="en-US" w:eastAsia="zh-CN"/>
        </w:rPr>
        <w:t>1家省级现代农机合作社，1家省级现代农机合作社示范社，1家省级全程机械化综合农事服务中心，2家市“平安农机”示范社。</w:t>
      </w:r>
      <w:r>
        <w:rPr>
          <w:rFonts w:hint="default" w:ascii="Times New Roman" w:hAnsi="Times New Roman" w:eastAsia="仿宋_GB2312" w:cs="Times New Roman"/>
          <w:b w:val="0"/>
          <w:bCs/>
          <w:color w:val="auto"/>
          <w:sz w:val="32"/>
          <w:szCs w:val="32"/>
          <w:highlight w:val="none"/>
          <w:lang w:eastAsia="zh-CN"/>
        </w:rPr>
        <w:t>扎实</w:t>
      </w:r>
      <w:r>
        <w:rPr>
          <w:rFonts w:hint="default" w:ascii="Times New Roman" w:hAnsi="Times New Roman" w:eastAsia="仿宋_GB2312" w:cs="Times New Roman"/>
          <w:b w:val="0"/>
          <w:bCs/>
          <w:color w:val="auto"/>
          <w:sz w:val="32"/>
          <w:szCs w:val="32"/>
          <w:lang w:eastAsia="zh-CN"/>
        </w:rPr>
        <w:t>推进</w:t>
      </w:r>
      <w:r>
        <w:rPr>
          <w:rFonts w:hint="default" w:ascii="Times New Roman" w:hAnsi="Times New Roman" w:eastAsia="仿宋_GB2312" w:cs="Times New Roman"/>
          <w:b w:val="0"/>
          <w:bCs/>
          <w:color w:val="auto"/>
          <w:sz w:val="32"/>
          <w:szCs w:val="32"/>
        </w:rPr>
        <w:t>皇图岭镇国家级产业强镇</w:t>
      </w:r>
      <w:r>
        <w:rPr>
          <w:rFonts w:hint="default" w:ascii="Times New Roman" w:hAnsi="Times New Roman" w:eastAsia="仿宋_GB2312" w:cs="Times New Roman"/>
          <w:b w:val="0"/>
          <w:bCs/>
          <w:color w:val="auto"/>
          <w:sz w:val="32"/>
          <w:szCs w:val="32"/>
          <w:lang w:eastAsia="zh-CN"/>
        </w:rPr>
        <w:t>建设，</w:t>
      </w:r>
      <w:r>
        <w:rPr>
          <w:rFonts w:hint="default" w:ascii="Times New Roman" w:hAnsi="Times New Roman" w:eastAsia="仿宋_GB2312" w:cs="Times New Roman"/>
          <w:color w:val="000000"/>
          <w:spacing w:val="-2"/>
          <w:sz w:val="32"/>
          <w:szCs w:val="32"/>
          <w:lang w:val="en-US" w:eastAsia="zh-CN"/>
        </w:rPr>
        <w:t>预计明年3月份完成产业强镇项目的全部投资计划。加快实施农产品仓储保鲜冷链设施建设项目。</w:t>
      </w:r>
      <w:r>
        <w:rPr>
          <w:rFonts w:hint="default" w:ascii="Times New Roman" w:hAnsi="Times New Roman" w:eastAsia="仿宋_GB2312" w:cs="Times New Roman"/>
          <w:b w:val="0"/>
          <w:bCs/>
          <w:color w:val="auto"/>
          <w:sz w:val="32"/>
          <w:szCs w:val="32"/>
          <w:lang w:val="en-US" w:eastAsia="zh-CN"/>
        </w:rPr>
        <w:t>公开</w:t>
      </w:r>
      <w:r>
        <w:rPr>
          <w:rFonts w:hint="default" w:ascii="Times New Roman" w:hAnsi="Times New Roman" w:eastAsia="仿宋_GB2312" w:cs="Times New Roman"/>
          <w:b w:val="0"/>
          <w:bCs/>
          <w:color w:val="auto"/>
          <w:sz w:val="32"/>
          <w:szCs w:val="32"/>
        </w:rPr>
        <w:t>遴选确定攸县2021年省巩固拓展产业扶贫成果重点项目实施主体4家。</w:t>
      </w:r>
      <w:r>
        <w:rPr>
          <w:rFonts w:hint="eastAsia" w:ascii="Times New Roman" w:hAnsi="Times New Roman" w:eastAsia="仿宋_GB2312" w:cs="Times New Roman"/>
          <w:b w:val="0"/>
          <w:bCs/>
          <w:color w:val="auto"/>
          <w:sz w:val="32"/>
          <w:szCs w:val="32"/>
          <w:lang w:eastAsia="zh-CN"/>
        </w:rPr>
        <w:t>科技强农持续深入，</w:t>
      </w:r>
      <w:r>
        <w:rPr>
          <w:rFonts w:hint="default" w:ascii="Times New Roman" w:hAnsi="Times New Roman" w:eastAsia="仿宋_GB2312" w:cs="Times New Roman"/>
          <w:b w:val="0"/>
          <w:bCs/>
          <w:color w:val="auto"/>
          <w:sz w:val="32"/>
          <w:szCs w:val="32"/>
          <w:lang w:val="en-US" w:eastAsia="zh-CN"/>
        </w:rPr>
        <w:t>培育高素质农民100人，完成农技特岗定向培育41人。已完成改（新）建户厕12416户，新建公厕11座。推荐7个乡村参与省级美丽乡村示范村创建，推荐2个乡村参与省级精品特色村创建。受污染耕地安全利用工作稳步推进</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推动12.92万亩受污染耕地安全利用措施落实</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配合办理第二轮中央生态环境保护督察组调查处理督办件5件</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建立健全网格化管理机制，强化秸秆禁烧管理督查</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深入实</w:t>
      </w:r>
      <w:r>
        <w:rPr>
          <w:rFonts w:hint="default" w:ascii="Times New Roman" w:hAnsi="Times New Roman" w:eastAsia="仿宋_GB2312" w:cs="Times New Roman"/>
          <w:b w:val="0"/>
          <w:bCs/>
          <w:color w:val="auto"/>
          <w:sz w:val="32"/>
          <w:szCs w:val="32"/>
          <w:highlight w:val="none"/>
          <w:shd w:val="clear" w:color="auto" w:fill="auto"/>
        </w:rPr>
        <w:t>施化肥农药零增长行动</w:t>
      </w:r>
      <w:r>
        <w:rPr>
          <w:rFonts w:hint="default" w:ascii="Times New Roman" w:hAnsi="Times New Roman" w:eastAsia="仿宋_GB2312" w:cs="Times New Roman"/>
          <w:b w:val="0"/>
          <w:bCs/>
          <w:color w:val="auto"/>
          <w:sz w:val="32"/>
          <w:szCs w:val="32"/>
          <w:lang w:val="en-US" w:eastAsia="zh-CN"/>
        </w:rPr>
        <w:t>，化肥、农药使用量较上年分别减少1.02%、4.6%。</w:t>
      </w:r>
      <w:r>
        <w:rPr>
          <w:rFonts w:hint="default" w:ascii="Times New Roman" w:hAnsi="Times New Roman" w:eastAsia="仿宋_GB2312" w:cs="Times New Roman"/>
          <w:sz w:val="32"/>
          <w:szCs w:val="32"/>
          <w:highlight w:val="none"/>
          <w:lang w:val="en-US" w:eastAsia="zh-CN"/>
        </w:rPr>
        <w:t>全面落实各项惠农补贴，</w:t>
      </w:r>
      <w:r>
        <w:rPr>
          <w:rFonts w:hint="default" w:ascii="Times New Roman" w:hAnsi="Times New Roman" w:eastAsia="仿宋_GB2312" w:cs="Times New Roman"/>
          <w:b w:val="0"/>
          <w:bCs/>
          <w:i w:val="0"/>
          <w:iCs w:val="0"/>
          <w:color w:val="000000"/>
          <w:sz w:val="32"/>
          <w:szCs w:val="32"/>
          <w:highlight w:val="none"/>
          <w:lang w:val="en-US" w:eastAsia="zh-CN"/>
        </w:rPr>
        <w:t>全年</w:t>
      </w:r>
      <w:r>
        <w:rPr>
          <w:rFonts w:hint="default" w:ascii="Times New Roman" w:hAnsi="Times New Roman" w:eastAsia="仿宋_GB2312" w:cs="Times New Roman"/>
          <w:b w:val="0"/>
          <w:bCs/>
          <w:color w:val="auto"/>
          <w:sz w:val="32"/>
          <w:szCs w:val="32"/>
          <w:shd w:val="clear" w:color="auto" w:fill="auto"/>
        </w:rPr>
        <w:t>发放农机购置补贴资金</w:t>
      </w:r>
      <w:r>
        <w:rPr>
          <w:rFonts w:hint="default" w:ascii="Times New Roman" w:hAnsi="Times New Roman" w:eastAsia="仿宋_GB2312" w:cs="Times New Roman"/>
          <w:b w:val="0"/>
          <w:bCs/>
          <w:color w:val="auto"/>
          <w:sz w:val="32"/>
          <w:szCs w:val="32"/>
          <w:shd w:val="clear" w:color="auto" w:fill="auto"/>
          <w:lang w:val="en-US" w:eastAsia="zh-CN"/>
        </w:rPr>
        <w:t>1372.74</w:t>
      </w:r>
      <w:r>
        <w:rPr>
          <w:rFonts w:hint="default" w:ascii="Times New Roman" w:hAnsi="Times New Roman" w:eastAsia="仿宋_GB2312" w:cs="Times New Roman"/>
          <w:b w:val="0"/>
          <w:bCs/>
          <w:color w:val="auto"/>
          <w:sz w:val="32"/>
          <w:szCs w:val="32"/>
          <w:shd w:val="clear" w:color="auto" w:fill="auto"/>
        </w:rPr>
        <w:t>万元</w:t>
      </w:r>
      <w:r>
        <w:rPr>
          <w:rFonts w:hint="default" w:ascii="Times New Roman" w:hAnsi="Times New Roman" w:eastAsia="仿宋_GB2312" w:cs="Times New Roman"/>
          <w:b w:val="0"/>
          <w:bCs/>
          <w:color w:val="auto"/>
          <w:sz w:val="32"/>
          <w:szCs w:val="32"/>
          <w:shd w:val="clear" w:color="auto" w:fill="auto"/>
          <w:lang w:eastAsia="zh-CN"/>
        </w:rPr>
        <w:t>，</w:t>
      </w:r>
      <w:r>
        <w:rPr>
          <w:rFonts w:hint="default" w:ascii="Times New Roman" w:hAnsi="Times New Roman" w:eastAsia="仿宋_GB2312" w:cs="Times New Roman"/>
          <w:sz w:val="32"/>
          <w:szCs w:val="32"/>
        </w:rPr>
        <w:t>整合涉农资金3300余万元用于粮食生产特别是双季稻生产，精准发放2021年实际种粮农民一次性补贴和耕地地力保护补贴等惠农补贴资金6541万余元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争取县财政配套100万元用于粮食生产先进乡镇、村奖励，形成了县、镇、村、大户四级联动的重粮抓粮良好氛围。</w:t>
      </w:r>
    </w:p>
    <w:p>
      <w:pPr>
        <w:spacing w:line="600" w:lineRule="exact"/>
        <w:ind w:firstLine="632" w:firstLineChars="200"/>
        <w:rPr>
          <w:rFonts w:ascii="仿宋" w:hAnsi="仿宋" w:eastAsia="仿宋" w:cs="仿宋"/>
          <w:color w:val="000000"/>
          <w:spacing w:val="-2"/>
          <w:kern w:val="0"/>
          <w:sz w:val="32"/>
          <w:szCs w:val="32"/>
          <w:shd w:val="clear" w:color="auto" w:fill="FFFFFF"/>
        </w:rPr>
      </w:pP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五、评价结论、存在问题及建议</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（一）评价结论：攸县农业农村局部门预算执行情况良好，无不良记录及违规违纪行为，预算支出和决算支出情况相符。</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（二）存在问题：一是预算经费支出明细科目与支出明细科目存在差异；二是部门决算上报处理效率还待提升。</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（三）改进建议：加快完善相应制度建设和账务处理。</w:t>
      </w:r>
    </w:p>
    <w:p>
      <w:pPr>
        <w:pStyle w:val="4"/>
        <w:spacing w:line="600" w:lineRule="exact"/>
        <w:ind w:firstLine="3640" w:firstLineChars="1300"/>
        <w:rPr>
          <w:rFonts w:ascii="方正书宋简体" w:hAnsi="方正书宋简体" w:eastAsia="方正书宋简体" w:cs="方正书宋简体"/>
          <w:sz w:val="28"/>
          <w:szCs w:val="28"/>
        </w:rPr>
      </w:pPr>
      <w:r>
        <w:rPr>
          <w:rFonts w:hint="eastAsia" w:ascii="方正书宋简体" w:hAnsi="方正书宋简体" w:eastAsia="方正书宋简体" w:cs="方正书宋简体"/>
          <w:sz w:val="28"/>
          <w:szCs w:val="28"/>
        </w:rPr>
        <w:t>202</w:t>
      </w:r>
      <w:r>
        <w:rPr>
          <w:rFonts w:hint="eastAsia" w:ascii="方正书宋简体" w:hAnsi="方正书宋简体" w:eastAsia="方正书宋简体" w:cs="方正书宋简体"/>
          <w:sz w:val="28"/>
          <w:szCs w:val="28"/>
          <w:lang w:val="en-US" w:eastAsia="zh-CN"/>
        </w:rPr>
        <w:t>2</w:t>
      </w:r>
      <w:r>
        <w:rPr>
          <w:rFonts w:hint="eastAsia" w:ascii="方正书宋简体" w:hAnsi="方正书宋简体" w:eastAsia="方正书宋简体" w:cs="方正书宋简体"/>
          <w:sz w:val="28"/>
          <w:szCs w:val="28"/>
        </w:rPr>
        <w:t>年1</w:t>
      </w:r>
      <w:r>
        <w:rPr>
          <w:rFonts w:hint="eastAsia" w:ascii="方正书宋简体" w:hAnsi="方正书宋简体" w:eastAsia="方正书宋简体" w:cs="方正书宋简体"/>
          <w:sz w:val="28"/>
          <w:szCs w:val="28"/>
          <w:lang w:val="en-US" w:eastAsia="zh-CN"/>
        </w:rPr>
        <w:t>0</w:t>
      </w:r>
      <w:r>
        <w:rPr>
          <w:rFonts w:hint="eastAsia" w:ascii="方正书宋简体" w:hAnsi="方正书宋简体" w:eastAsia="方正书宋简体" w:cs="方正书宋简体"/>
          <w:sz w:val="28"/>
          <w:szCs w:val="28"/>
        </w:rPr>
        <w:t>月1</w:t>
      </w:r>
      <w:r>
        <w:rPr>
          <w:rFonts w:hint="eastAsia" w:ascii="方正书宋简体" w:hAnsi="方正书宋简体" w:eastAsia="方正书宋简体" w:cs="方正书宋简体"/>
          <w:sz w:val="28"/>
          <w:szCs w:val="28"/>
          <w:lang w:val="en-US" w:eastAsia="zh-CN"/>
        </w:rPr>
        <w:t>4</w:t>
      </w:r>
      <w:r>
        <w:rPr>
          <w:rFonts w:hint="eastAsia" w:ascii="方正书宋简体" w:hAnsi="方正书宋简体" w:eastAsia="方正书宋简体" w:cs="方正书宋简体"/>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微软雅黑"/>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944E6"/>
    <w:rsid w:val="00032699"/>
    <w:rsid w:val="002F78B4"/>
    <w:rsid w:val="004221E1"/>
    <w:rsid w:val="006207B3"/>
    <w:rsid w:val="00C65256"/>
    <w:rsid w:val="00EF23EF"/>
    <w:rsid w:val="00F8010E"/>
    <w:rsid w:val="01D0416F"/>
    <w:rsid w:val="02406227"/>
    <w:rsid w:val="03D60BFB"/>
    <w:rsid w:val="098D21BC"/>
    <w:rsid w:val="0ADF0A73"/>
    <w:rsid w:val="0B1944E6"/>
    <w:rsid w:val="15CD2125"/>
    <w:rsid w:val="187223DD"/>
    <w:rsid w:val="187A67AD"/>
    <w:rsid w:val="197B249D"/>
    <w:rsid w:val="1C79295C"/>
    <w:rsid w:val="24A407F5"/>
    <w:rsid w:val="27B75643"/>
    <w:rsid w:val="2A24120E"/>
    <w:rsid w:val="31C32816"/>
    <w:rsid w:val="330F034E"/>
    <w:rsid w:val="33206C16"/>
    <w:rsid w:val="3CD27F62"/>
    <w:rsid w:val="40EE30D7"/>
    <w:rsid w:val="480D5A87"/>
    <w:rsid w:val="4C11145F"/>
    <w:rsid w:val="4C8132F4"/>
    <w:rsid w:val="4CC54E0D"/>
    <w:rsid w:val="4DFD64D4"/>
    <w:rsid w:val="51B93EAB"/>
    <w:rsid w:val="54505D39"/>
    <w:rsid w:val="5CD03C53"/>
    <w:rsid w:val="6562738E"/>
    <w:rsid w:val="6AAF54B3"/>
    <w:rsid w:val="6D3D6DC9"/>
    <w:rsid w:val="74490061"/>
    <w:rsid w:val="7AB1248B"/>
    <w:rsid w:val="7C8E5DF9"/>
    <w:rsid w:val="7E87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index 8"/>
    <w:basedOn w:val="1"/>
    <w:next w:val="1"/>
    <w:unhideWhenUsed/>
    <w:qFormat/>
    <w:uiPriority w:val="99"/>
    <w:pPr>
      <w:ind w:firstLine="643" w:firstLineChars="200"/>
      <w:jc w:val="left"/>
    </w:pPr>
    <w:rPr>
      <w:sz w:val="32"/>
    </w:rPr>
  </w:style>
  <w:style w:type="paragraph" w:styleId="4">
    <w:name w:val="Plain Text"/>
    <w:basedOn w:val="1"/>
    <w:qFormat/>
    <w:uiPriority w:val="0"/>
    <w:rPr>
      <w:rFonts w:ascii="宋体" w:hAnsi="Courier New" w:cs="Courier New"/>
      <w:szCs w:val="21"/>
    </w:rPr>
  </w:style>
  <w:style w:type="paragraph" w:styleId="5">
    <w:name w:val="footer"/>
    <w:basedOn w:val="1"/>
    <w:link w:val="15"/>
    <w:uiPriority w:val="0"/>
    <w:pPr>
      <w:tabs>
        <w:tab w:val="center" w:pos="4153"/>
        <w:tab w:val="right" w:pos="8306"/>
      </w:tabs>
      <w:snapToGrid w:val="0"/>
      <w:jc w:val="left"/>
    </w:pPr>
    <w:rPr>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character" w:customStyle="1" w:styleId="13">
    <w:name w:val="last"/>
    <w:basedOn w:val="9"/>
    <w:qFormat/>
    <w:uiPriority w:val="0"/>
  </w:style>
  <w:style w:type="character" w:customStyle="1" w:styleId="14">
    <w:name w:val="页眉 Char"/>
    <w:basedOn w:val="9"/>
    <w:link w:val="6"/>
    <w:uiPriority w:val="0"/>
    <w:rPr>
      <w:rFonts w:asciiTheme="minorHAnsi" w:hAnsiTheme="minorHAnsi" w:eastAsiaTheme="minorEastAsia" w:cstheme="minorBidi"/>
      <w:kern w:val="2"/>
      <w:sz w:val="18"/>
      <w:szCs w:val="18"/>
    </w:rPr>
  </w:style>
  <w:style w:type="character" w:customStyle="1" w:styleId="15">
    <w:name w:val="页脚 Char"/>
    <w:basedOn w:val="9"/>
    <w:link w:val="5"/>
    <w:uiPriority w:val="0"/>
    <w:rPr>
      <w:rFonts w:asciiTheme="minorHAnsi" w:hAnsiTheme="minorHAnsi" w:eastAsiaTheme="minorEastAsia" w:cstheme="minorBidi"/>
      <w:kern w:val="2"/>
      <w:sz w:val="18"/>
      <w:szCs w:val="18"/>
    </w:rPr>
  </w:style>
  <w:style w:type="paragraph" w:customStyle="1" w:styleId="16">
    <w:name w:val="18"/>
    <w:basedOn w:val="1"/>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2739</Words>
  <Characters>309</Characters>
  <Lines>2</Lines>
  <Paragraphs>6</Paragraphs>
  <TotalTime>4</TotalTime>
  <ScaleCrop>false</ScaleCrop>
  <LinksUpToDate>false</LinksUpToDate>
  <CharactersWithSpaces>3042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2017-11-07T01:31:00Z</dcterms:created>
  <dc:creator>Administrator</dc:creator>
  <cp:lastModifiedBy>Administrator</cp:lastModifiedBy>
  <cp:lastPrinted>2021-01-13T07:56:00Z</cp:lastPrinted>
  <dcterms:modified xsi:type="dcterms:W3CDTF">2022-10-14T03:22:57Z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